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1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5701"/>
      </w:tblGrid>
      <w:tr w:rsidR="00700594" w:rsidTr="00E60EAA">
        <w:trPr>
          <w:trHeight w:val="1520"/>
          <w:jc w:val="center"/>
        </w:trPr>
        <w:tc>
          <w:tcPr>
            <w:tcW w:w="11366" w:type="dxa"/>
            <w:gridSpan w:val="2"/>
            <w:tcBorders>
              <w:top w:val="single" w:sz="4" w:space="0" w:color="000000"/>
              <w:left w:val="single" w:sz="4" w:space="0" w:color="000000"/>
              <w:bottom w:val="single" w:sz="24" w:space="0" w:color="000000"/>
              <w:right w:val="single" w:sz="4" w:space="0" w:color="000000"/>
            </w:tcBorders>
            <w:vAlign w:val="center"/>
          </w:tcPr>
          <w:p w:rsidR="00700594" w:rsidRDefault="00016E33">
            <w:pPr>
              <w:jc w:val="center"/>
              <w:rPr>
                <w:rFonts w:ascii="Calibri" w:eastAsia="Calibri" w:hAnsi="Calibri" w:cs="Calibri"/>
                <w:sz w:val="32"/>
                <w:szCs w:val="32"/>
              </w:rPr>
            </w:pPr>
            <w:r w:rsidRPr="00016E33">
              <w:rPr>
                <w:noProof/>
              </w:rPr>
              <w:drawing>
                <wp:anchor distT="0" distB="0" distL="114300" distR="114300" simplePos="0" relativeHeight="251658240" behindDoc="0" locked="0" layoutInCell="1" hidden="0" allowOverlap="1">
                  <wp:simplePos x="0" y="0"/>
                  <wp:positionH relativeFrom="column">
                    <wp:posOffset>6104890</wp:posOffset>
                  </wp:positionH>
                  <wp:positionV relativeFrom="paragraph">
                    <wp:posOffset>-85725</wp:posOffset>
                  </wp:positionV>
                  <wp:extent cx="933450" cy="933450"/>
                  <wp:effectExtent l="0" t="0" r="0" b="0"/>
                  <wp:wrapSquare wrapText="bothSides" distT="0" distB="0" distL="114300" distR="114300"/>
                  <wp:docPr id="1" name="image1.png" descr="https://lh6.googleusercontent.com/2oB_WU43wTM1VxkRu3KkTJrXb3YpOufAbQKyvagpMXoW305JdBfeyA-hdMjbyCjvIh_D5YKFH6t3BVc_O12VOn3GItJGKCMyAs6EodgIkkwLkMQ61HQSl65dRtbPEg_scxNzJBeP"/>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2oB_WU43wTM1VxkRu3KkTJrXb3YpOufAbQKyvagpMXoW305JdBfeyA-hdMjbyCjvIh_D5YKFH6t3BVc_O12VOn3GItJGKCMyAs6EodgIkkwLkMQ61HQSl65dRtbPEg_scxNzJBeP"/>
                          <pic:cNvPicPr preferRelativeResize="0"/>
                        </pic:nvPicPr>
                        <pic:blipFill>
                          <a:blip r:embed="rId5"/>
                          <a:srcRect/>
                          <a:stretch>
                            <a:fillRect/>
                          </a:stretch>
                        </pic:blipFill>
                        <pic:spPr>
                          <a:xfrm>
                            <a:off x="0" y="0"/>
                            <a:ext cx="933450" cy="933450"/>
                          </a:xfrm>
                          <a:prstGeom prst="rect">
                            <a:avLst/>
                          </a:prstGeom>
                          <a:ln/>
                        </pic:spPr>
                      </pic:pic>
                    </a:graphicData>
                  </a:graphic>
                  <wp14:sizeRelH relativeFrom="margin">
                    <wp14:pctWidth>0</wp14:pctWidth>
                  </wp14:sizeRelH>
                  <wp14:sizeRelV relativeFrom="margin">
                    <wp14:pctHeight>0</wp14:pctHeight>
                  </wp14:sizeRelV>
                </wp:anchor>
              </w:drawing>
            </w:r>
            <w:r w:rsidRPr="00016E33">
              <w:rPr>
                <w:rFonts w:ascii="Calibri" w:eastAsia="Calibri" w:hAnsi="Calibri" w:cs="Calibri"/>
                <w:sz w:val="32"/>
                <w:szCs w:val="32"/>
              </w:rPr>
              <w:t xml:space="preserve">Cypress Creek </w:t>
            </w:r>
            <w:r>
              <w:rPr>
                <w:rFonts w:ascii="Calibri" w:eastAsia="Calibri" w:hAnsi="Calibri" w:cs="Calibri"/>
                <w:sz w:val="32"/>
                <w:szCs w:val="32"/>
              </w:rPr>
              <w:t>High School</w:t>
            </w:r>
            <w:r>
              <w:rPr>
                <w:noProof/>
              </w:rPr>
              <w:drawing>
                <wp:anchor distT="0" distB="0" distL="114300" distR="114300" simplePos="0" relativeHeight="251659264" behindDoc="0" locked="0" layoutInCell="1" hidden="0" allowOverlap="1">
                  <wp:simplePos x="0" y="0"/>
                  <wp:positionH relativeFrom="column">
                    <wp:posOffset>245110</wp:posOffset>
                  </wp:positionH>
                  <wp:positionV relativeFrom="paragraph">
                    <wp:posOffset>-26034</wp:posOffset>
                  </wp:positionV>
                  <wp:extent cx="914400" cy="904875"/>
                  <wp:effectExtent l="0" t="0" r="0" b="0"/>
                  <wp:wrapSquare wrapText="bothSides" distT="0" distB="0" distL="114300" distR="114300"/>
                  <wp:docPr id="2" name="image2.png" descr="https://lh3.googleusercontent.com/mYVKJoUZb7HEUclbD5ohJXbSAfzWb8BKUI5pCbyqXbeLgbPyQFntn-Xtbpn3z23WKWr8gHXlAdeLh1lowd9HJgNy9ti7YZ_FDOhGAaS0ESHl1I3Lepbrj78j7efQ2zaQeB7gW1fb"/>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mYVKJoUZb7HEUclbD5ohJXbSAfzWb8BKUI5pCbyqXbeLgbPyQFntn-Xtbpn3z23WKWr8gHXlAdeLh1lowd9HJgNy9ti7YZ_FDOhGAaS0ESHl1I3Lepbrj78j7efQ2zaQeB7gW1fb"/>
                          <pic:cNvPicPr preferRelativeResize="0"/>
                        </pic:nvPicPr>
                        <pic:blipFill>
                          <a:blip r:embed="rId6"/>
                          <a:srcRect/>
                          <a:stretch>
                            <a:fillRect/>
                          </a:stretch>
                        </pic:blipFill>
                        <pic:spPr>
                          <a:xfrm>
                            <a:off x="0" y="0"/>
                            <a:ext cx="914400" cy="904875"/>
                          </a:xfrm>
                          <a:prstGeom prst="rect">
                            <a:avLst/>
                          </a:prstGeom>
                          <a:ln/>
                        </pic:spPr>
                      </pic:pic>
                    </a:graphicData>
                  </a:graphic>
                </wp:anchor>
              </w:drawing>
            </w:r>
          </w:p>
          <w:p w:rsidR="00700594" w:rsidRDefault="00016E33">
            <w:pPr>
              <w:jc w:val="center"/>
              <w:rPr>
                <w:rFonts w:ascii="Calibri" w:eastAsia="Calibri" w:hAnsi="Calibri" w:cs="Calibri"/>
                <w:sz w:val="32"/>
                <w:szCs w:val="32"/>
              </w:rPr>
            </w:pPr>
            <w:r>
              <w:rPr>
                <w:rFonts w:ascii="Calibri" w:eastAsia="Calibri" w:hAnsi="Calibri" w:cs="Calibri"/>
                <w:sz w:val="32"/>
                <w:szCs w:val="32"/>
              </w:rPr>
              <w:t>an International Baccalaureate World School</w:t>
            </w:r>
          </w:p>
          <w:p w:rsidR="00700594" w:rsidRDefault="00016E33">
            <w:pPr>
              <w:jc w:val="center"/>
              <w:rPr>
                <w:rFonts w:ascii="Cordia New" w:eastAsia="Cordia New" w:hAnsi="Cordia New" w:cs="Cordia New"/>
                <w:sz w:val="74"/>
                <w:szCs w:val="74"/>
              </w:rPr>
            </w:pPr>
            <w:r>
              <w:rPr>
                <w:rFonts w:ascii="Calibri" w:eastAsia="Calibri" w:hAnsi="Calibri" w:cs="Calibri"/>
                <w:sz w:val="32"/>
                <w:szCs w:val="32"/>
              </w:rPr>
              <w:t>Assessment Policy</w:t>
            </w:r>
            <w:r>
              <w:t xml:space="preserve">  </w:t>
            </w:r>
          </w:p>
        </w:tc>
      </w:tr>
      <w:tr w:rsidR="00700594" w:rsidTr="00E60EAA">
        <w:trPr>
          <w:trHeight w:val="2595"/>
          <w:jc w:val="center"/>
        </w:trPr>
        <w:tc>
          <w:tcPr>
            <w:tcW w:w="11366" w:type="dxa"/>
            <w:gridSpan w:val="2"/>
          </w:tcPr>
          <w:p w:rsidR="00700594" w:rsidRDefault="00016E33">
            <w:pPr>
              <w:spacing w:before="542"/>
              <w:ind w:right="720"/>
              <w:rPr>
                <w:rFonts w:ascii="Calibri" w:eastAsia="Calibri" w:hAnsi="Calibri" w:cs="Calibri"/>
                <w:color w:val="000000"/>
                <w:sz w:val="22"/>
                <w:szCs w:val="22"/>
              </w:rPr>
            </w:pPr>
            <w:r w:rsidRPr="00016E33">
              <w:rPr>
                <w:rFonts w:ascii="Calibri" w:eastAsia="Calibri" w:hAnsi="Calibri" w:cs="Calibri"/>
                <w:sz w:val="22"/>
                <w:szCs w:val="22"/>
              </w:rPr>
              <w:t xml:space="preserve">Cypress Creek </w:t>
            </w:r>
            <w:r>
              <w:rPr>
                <w:rFonts w:ascii="Calibri" w:eastAsia="Calibri" w:hAnsi="Calibri" w:cs="Calibri"/>
                <w:sz w:val="22"/>
                <w:szCs w:val="22"/>
              </w:rPr>
              <w:t xml:space="preserve">High </w:t>
            </w:r>
            <w:r>
              <w:rPr>
                <w:rFonts w:ascii="Calibri" w:eastAsia="Calibri" w:hAnsi="Calibri" w:cs="Calibri"/>
                <w:color w:val="000000"/>
                <w:sz w:val="22"/>
                <w:szCs w:val="22"/>
              </w:rPr>
              <w:t>School believes in and values students’ ability to be inquirers, risk-takers, and thinkers; to communicate knowledge and understanding in real world contexts as open-minded, reflective, principled, and caring learners. To this end, our assessments are designed to provide meaningful feedback during the teaching and learning process and measure student mastery of the Florida State Standards and the IB</w:t>
            </w:r>
            <w:r>
              <w:rPr>
                <w:rFonts w:ascii="Calibri" w:eastAsia="Calibri" w:hAnsi="Calibri" w:cs="Calibri"/>
                <w:sz w:val="22"/>
                <w:szCs w:val="22"/>
              </w:rPr>
              <w:t xml:space="preserve"> </w:t>
            </w:r>
            <w:r>
              <w:rPr>
                <w:rFonts w:ascii="Calibri" w:eastAsia="Calibri" w:hAnsi="Calibri" w:cs="Calibri"/>
                <w:color w:val="000000"/>
                <w:sz w:val="22"/>
                <w:szCs w:val="22"/>
              </w:rPr>
              <w:t xml:space="preserve">objectives. </w:t>
            </w:r>
          </w:p>
          <w:p w:rsidR="00700594" w:rsidRDefault="00700594">
            <w:pPr>
              <w:ind w:right="720"/>
              <w:rPr>
                <w:rFonts w:ascii="Calibri" w:eastAsia="Calibri" w:hAnsi="Calibri" w:cs="Calibri"/>
                <w:color w:val="000000"/>
                <w:sz w:val="16"/>
                <w:szCs w:val="16"/>
              </w:rPr>
            </w:pPr>
          </w:p>
          <w:p w:rsidR="00700594" w:rsidRDefault="00016E33">
            <w:pPr>
              <w:ind w:right="720"/>
              <w:rPr>
                <w:rFonts w:ascii="Calibri" w:eastAsia="Calibri" w:hAnsi="Calibri" w:cs="Calibri"/>
                <w:color w:val="000000"/>
                <w:sz w:val="22"/>
                <w:szCs w:val="22"/>
              </w:rPr>
            </w:pPr>
            <w:r>
              <w:rPr>
                <w:rFonts w:ascii="Calibri" w:eastAsia="Calibri" w:hAnsi="Calibri" w:cs="Calibri"/>
                <w:color w:val="000000"/>
                <w:sz w:val="22"/>
                <w:szCs w:val="22"/>
              </w:rPr>
              <w:t>We believe that meaningful assessment:</w:t>
            </w:r>
          </w:p>
          <w:p w:rsidR="00700594" w:rsidRDefault="00016E33">
            <w:pPr>
              <w:numPr>
                <w:ilvl w:val="0"/>
                <w:numId w:val="2"/>
              </w:numPr>
              <w:pBdr>
                <w:top w:val="nil"/>
                <w:left w:val="nil"/>
                <w:bottom w:val="nil"/>
                <w:right w:val="nil"/>
                <w:between w:val="nil"/>
              </w:pBdr>
              <w:ind w:left="720" w:right="720"/>
              <w:rPr>
                <w:rFonts w:ascii="Calibri" w:eastAsia="Calibri" w:hAnsi="Calibri" w:cs="Calibri"/>
                <w:color w:val="000000"/>
                <w:sz w:val="22"/>
                <w:szCs w:val="22"/>
              </w:rPr>
            </w:pPr>
            <w:r>
              <w:rPr>
                <w:rFonts w:ascii="Calibri" w:eastAsia="Calibri" w:hAnsi="Calibri" w:cs="Calibri"/>
                <w:color w:val="000000"/>
                <w:sz w:val="22"/>
                <w:szCs w:val="22"/>
              </w:rPr>
              <w:t>provides opportunities for students to demonstrate their knowledge, understanding, skills, and attitudes</w:t>
            </w:r>
          </w:p>
          <w:p w:rsidR="00700594" w:rsidRDefault="00016E33">
            <w:pPr>
              <w:numPr>
                <w:ilvl w:val="0"/>
                <w:numId w:val="2"/>
              </w:numPr>
              <w:pBdr>
                <w:top w:val="nil"/>
                <w:left w:val="nil"/>
                <w:bottom w:val="nil"/>
                <w:right w:val="nil"/>
                <w:between w:val="nil"/>
              </w:pBdr>
              <w:ind w:left="720" w:right="720"/>
              <w:rPr>
                <w:rFonts w:ascii="Calibri" w:eastAsia="Calibri" w:hAnsi="Calibri" w:cs="Calibri"/>
                <w:color w:val="000000"/>
                <w:sz w:val="22"/>
                <w:szCs w:val="22"/>
              </w:rPr>
            </w:pPr>
            <w:r>
              <w:rPr>
                <w:rFonts w:ascii="Calibri" w:eastAsia="Calibri" w:hAnsi="Calibri" w:cs="Calibri"/>
                <w:color w:val="000000"/>
                <w:sz w:val="22"/>
                <w:szCs w:val="22"/>
              </w:rPr>
              <w:t>considers students different learning styles, special needs, prior knowledge, mother tongues, linguistic abilities, cultural diversity, and multiple perspectives</w:t>
            </w:r>
          </w:p>
          <w:p w:rsidR="00700594" w:rsidRDefault="00016E33">
            <w:pPr>
              <w:numPr>
                <w:ilvl w:val="0"/>
                <w:numId w:val="2"/>
              </w:numPr>
              <w:pBdr>
                <w:top w:val="nil"/>
                <w:left w:val="nil"/>
                <w:bottom w:val="nil"/>
                <w:right w:val="nil"/>
                <w:between w:val="nil"/>
              </w:pBdr>
              <w:ind w:left="720" w:right="720"/>
              <w:rPr>
                <w:rFonts w:ascii="Calibri" w:eastAsia="Calibri" w:hAnsi="Calibri" w:cs="Calibri"/>
                <w:color w:val="000000"/>
                <w:sz w:val="22"/>
                <w:szCs w:val="22"/>
              </w:rPr>
            </w:pPr>
            <w:r>
              <w:rPr>
                <w:rFonts w:ascii="Calibri" w:eastAsia="Calibri" w:hAnsi="Calibri" w:cs="Calibri"/>
                <w:color w:val="000000"/>
                <w:sz w:val="22"/>
                <w:szCs w:val="22"/>
              </w:rPr>
              <w:t>promotes student development of critical thinking, verbal reasoning, and reflection</w:t>
            </w:r>
          </w:p>
          <w:p w:rsidR="00700594" w:rsidRDefault="00016E33">
            <w:pPr>
              <w:numPr>
                <w:ilvl w:val="0"/>
                <w:numId w:val="2"/>
              </w:numPr>
              <w:pBdr>
                <w:top w:val="nil"/>
                <w:left w:val="nil"/>
                <w:bottom w:val="nil"/>
                <w:right w:val="nil"/>
                <w:between w:val="nil"/>
              </w:pBdr>
              <w:ind w:left="720" w:right="720"/>
              <w:rPr>
                <w:rFonts w:ascii="Calibri" w:eastAsia="Calibri" w:hAnsi="Calibri" w:cs="Calibri"/>
                <w:color w:val="000000"/>
                <w:sz w:val="22"/>
                <w:szCs w:val="22"/>
              </w:rPr>
            </w:pPr>
            <w:r>
              <w:rPr>
                <w:rFonts w:ascii="Calibri" w:eastAsia="Calibri" w:hAnsi="Calibri" w:cs="Calibri"/>
                <w:color w:val="000000"/>
                <w:sz w:val="22"/>
                <w:szCs w:val="22"/>
              </w:rPr>
              <w:t>provides timely and meaningful feedback to students and parents in order to monitor progress during the learning process and after the unit of instruction is complete</w:t>
            </w:r>
          </w:p>
          <w:p w:rsidR="00700594" w:rsidRDefault="00016E33">
            <w:pPr>
              <w:numPr>
                <w:ilvl w:val="0"/>
                <w:numId w:val="2"/>
              </w:numPr>
              <w:pBdr>
                <w:top w:val="nil"/>
                <w:left w:val="nil"/>
                <w:bottom w:val="nil"/>
                <w:right w:val="nil"/>
                <w:between w:val="nil"/>
              </w:pBdr>
              <w:ind w:left="720" w:right="720"/>
              <w:rPr>
                <w:rFonts w:ascii="Calibri" w:eastAsia="Calibri" w:hAnsi="Calibri" w:cs="Calibri"/>
                <w:color w:val="000000"/>
              </w:rPr>
            </w:pPr>
            <w:r>
              <w:rPr>
                <w:rFonts w:ascii="Calibri" w:eastAsia="Calibri" w:hAnsi="Calibri" w:cs="Calibri"/>
                <w:color w:val="000000"/>
                <w:sz w:val="22"/>
                <w:szCs w:val="22"/>
              </w:rPr>
              <w:t>informs teaching and learning practices</w:t>
            </w:r>
            <w:r>
              <w:rPr>
                <w:rFonts w:ascii="Calibri" w:eastAsia="Calibri" w:hAnsi="Calibri" w:cs="Calibri"/>
                <w:color w:val="000000"/>
              </w:rPr>
              <w:t xml:space="preserve"> </w:t>
            </w:r>
          </w:p>
          <w:p w:rsidR="00700594" w:rsidRDefault="00700594">
            <w:pPr>
              <w:ind w:left="360" w:right="720"/>
              <w:rPr>
                <w:rFonts w:ascii="Calibri" w:eastAsia="Calibri" w:hAnsi="Calibri" w:cs="Calibri"/>
                <w:color w:val="000000"/>
                <w:sz w:val="16"/>
                <w:szCs w:val="16"/>
              </w:rPr>
            </w:pPr>
          </w:p>
        </w:tc>
      </w:tr>
      <w:tr w:rsidR="00700594" w:rsidTr="00E60EAA">
        <w:trPr>
          <w:trHeight w:val="3977"/>
          <w:jc w:val="center"/>
        </w:trPr>
        <w:tc>
          <w:tcPr>
            <w:tcW w:w="5665" w:type="dxa"/>
          </w:tcPr>
          <w:p w:rsidR="00700594" w:rsidRDefault="00016E33">
            <w:pPr>
              <w:rPr>
                <w:rFonts w:ascii="Calibri" w:eastAsia="Calibri" w:hAnsi="Calibri" w:cs="Calibri"/>
                <w:b/>
                <w:sz w:val="22"/>
                <w:szCs w:val="22"/>
              </w:rPr>
            </w:pPr>
            <w:r>
              <w:rPr>
                <w:rFonts w:ascii="Calibri" w:eastAsia="Calibri" w:hAnsi="Calibri" w:cs="Calibri"/>
                <w:b/>
                <w:sz w:val="22"/>
                <w:szCs w:val="22"/>
              </w:rPr>
              <w:t>Formative assessment:</w:t>
            </w:r>
          </w:p>
          <w:p w:rsidR="00700594" w:rsidRDefault="00016E33">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Purpose:</w:t>
            </w:r>
            <w:r>
              <w:rPr>
                <w:rFonts w:ascii="Calibri" w:eastAsia="Calibri" w:hAnsi="Calibri" w:cs="Calibri"/>
                <w:color w:val="000000"/>
                <w:sz w:val="22"/>
                <w:szCs w:val="22"/>
              </w:rPr>
              <w:t xml:space="preserve"> allows for monitoring of progress and growth during the teaching and learning process, allows teachers to provide meaningful feedback on the learning process and growth, allows teachers to remediate, accelerate, extend, or differentiate based on student needs.</w:t>
            </w:r>
          </w:p>
          <w:p w:rsidR="00700594" w:rsidRDefault="00016E33">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Types:</w:t>
            </w:r>
            <w:r>
              <w:rPr>
                <w:rFonts w:ascii="Calibri" w:eastAsia="Calibri" w:hAnsi="Calibri" w:cs="Calibri"/>
                <w:color w:val="000000"/>
                <w:sz w:val="22"/>
                <w:szCs w:val="22"/>
              </w:rPr>
              <w:t xml:space="preserve"> exit slips, quizzes, short writing assignments, </w:t>
            </w:r>
            <w:proofErr w:type="spellStart"/>
            <w:r>
              <w:rPr>
                <w:rFonts w:ascii="Calibri" w:eastAsia="Calibri" w:hAnsi="Calibri" w:cs="Calibri"/>
                <w:color w:val="000000"/>
                <w:sz w:val="22"/>
                <w:szCs w:val="22"/>
              </w:rPr>
              <w:t>Kahoot</w:t>
            </w:r>
            <w:proofErr w:type="spellEnd"/>
            <w:r>
              <w:rPr>
                <w:rFonts w:ascii="Calibri" w:eastAsia="Calibri" w:hAnsi="Calibri" w:cs="Calibri"/>
                <w:color w:val="000000"/>
                <w:sz w:val="22"/>
                <w:szCs w:val="22"/>
              </w:rPr>
              <w:t>, simulations, experiments, Socratic Seminars, Cornell Notes, Venn-diagrams, presentations, think-pair-share, Close Reading, visible thinking routines, and teacher observation.</w:t>
            </w:r>
          </w:p>
        </w:tc>
        <w:tc>
          <w:tcPr>
            <w:tcW w:w="5701" w:type="dxa"/>
            <w:tcBorders>
              <w:bottom w:val="single" w:sz="4" w:space="0" w:color="000000"/>
            </w:tcBorders>
          </w:tcPr>
          <w:p w:rsidR="00700594" w:rsidRDefault="00016E33">
            <w:pP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Summative assessment:</w:t>
            </w:r>
          </w:p>
          <w:p w:rsidR="00700594" w:rsidRDefault="00016E3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Purpose:</w:t>
            </w:r>
            <w:r>
              <w:rPr>
                <w:rFonts w:ascii="Calibri" w:eastAsia="Calibri" w:hAnsi="Calibri" w:cs="Calibri"/>
                <w:color w:val="000000"/>
                <w:sz w:val="22"/>
                <w:szCs w:val="22"/>
              </w:rPr>
              <w:t xml:space="preserve"> allows students to demonstrate their knowledge and understanding after the teaching and learning process with authentic performance based real world tasks, allows teachers to evaluate a student’s level of mastery in the criteria and award a level of achievement, allows teachers to modify future units of study, teaching strategies, and learning experiences based on student assessment data.</w:t>
            </w:r>
          </w:p>
          <w:p w:rsidR="00700594" w:rsidRDefault="00016E3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Types:</w:t>
            </w:r>
            <w:r>
              <w:rPr>
                <w:rFonts w:ascii="Calibri" w:eastAsia="Calibri" w:hAnsi="Calibri" w:cs="Calibri"/>
                <w:color w:val="000000"/>
                <w:sz w:val="22"/>
                <w:szCs w:val="22"/>
              </w:rPr>
              <w:t xml:space="preserve"> writing assignments, oral and visual presentations, portfolios, research projects, process journals, hands on labs and simulations, debates, and performances.</w:t>
            </w:r>
          </w:p>
        </w:tc>
      </w:tr>
      <w:tr w:rsidR="00700594" w:rsidTr="00E60EAA">
        <w:trPr>
          <w:jc w:val="center"/>
        </w:trPr>
        <w:tc>
          <w:tcPr>
            <w:tcW w:w="11366" w:type="dxa"/>
            <w:gridSpan w:val="2"/>
            <w:tcBorders>
              <w:bottom w:val="single" w:sz="4" w:space="0" w:color="000000"/>
            </w:tcBorders>
          </w:tcPr>
          <w:p w:rsidR="00700594" w:rsidRDefault="00016E33">
            <w:pPr>
              <w:rPr>
                <w:rFonts w:ascii="Calibri" w:eastAsia="Calibri" w:hAnsi="Calibri" w:cs="Calibri"/>
                <w:b/>
                <w:sz w:val="22"/>
                <w:szCs w:val="22"/>
              </w:rPr>
            </w:pPr>
            <w:r>
              <w:rPr>
                <w:rFonts w:ascii="Calibri" w:eastAsia="Calibri" w:hAnsi="Calibri" w:cs="Calibri"/>
                <w:b/>
                <w:sz w:val="22"/>
                <w:szCs w:val="22"/>
              </w:rPr>
              <w:t>State and local requirements:</w:t>
            </w:r>
          </w:p>
          <w:p w:rsidR="00700594" w:rsidRDefault="00016E33">
            <w:pPr>
              <w:rPr>
                <w:rFonts w:ascii="Calibri" w:eastAsia="Calibri" w:hAnsi="Calibri" w:cs="Calibri"/>
                <w:sz w:val="22"/>
                <w:szCs w:val="22"/>
              </w:rPr>
            </w:pPr>
            <w:r>
              <w:rPr>
                <w:rFonts w:ascii="Calibri" w:eastAsia="Calibri" w:hAnsi="Calibri" w:cs="Calibri"/>
                <w:sz w:val="22"/>
                <w:szCs w:val="22"/>
              </w:rPr>
              <w:t xml:space="preserve">Students in the state of Florida must learn the Florida State Standards.  Student mastery of the standards is assessed on the Florida Standards Assessment (FSA) and End of Course Exams (EOC) administered annually in grades 3-10.  In Orange County Public Schools, for courses not assessed by the FSA or EOC Common Final Exams (CFE), student mastery is measured with a locally created 40 question Common Final Exam (CFE). FSA scores are used to determine student placement in courses. EOC scores are calculated into a student’s district grade for the course, with a weight of 30%. CFE scores are calculated into a student’s district grade for the course, with a weight of 20%. </w:t>
            </w:r>
          </w:p>
          <w:p w:rsidR="00700594" w:rsidRDefault="00700594">
            <w:pPr>
              <w:rPr>
                <w:rFonts w:ascii="Calibri" w:eastAsia="Calibri" w:hAnsi="Calibri" w:cs="Calibri"/>
                <w:sz w:val="16"/>
                <w:szCs w:val="16"/>
              </w:rPr>
            </w:pPr>
          </w:p>
        </w:tc>
      </w:tr>
      <w:tr w:rsidR="00700594" w:rsidTr="00E60EAA">
        <w:trPr>
          <w:jc w:val="center"/>
        </w:trPr>
        <w:tc>
          <w:tcPr>
            <w:tcW w:w="11366" w:type="dxa"/>
            <w:gridSpan w:val="2"/>
            <w:tcBorders>
              <w:bottom w:val="single" w:sz="4" w:space="0" w:color="000000"/>
            </w:tcBorders>
          </w:tcPr>
          <w:p w:rsidR="00700594" w:rsidRDefault="00016E33">
            <w:pPr>
              <w:rPr>
                <w:rFonts w:ascii="Calibri" w:eastAsia="Calibri" w:hAnsi="Calibri" w:cs="Calibri"/>
                <w:b/>
                <w:sz w:val="22"/>
                <w:szCs w:val="22"/>
              </w:rPr>
            </w:pPr>
            <w:r>
              <w:rPr>
                <w:rFonts w:ascii="Calibri" w:eastAsia="Calibri" w:hAnsi="Calibri" w:cs="Calibri"/>
                <w:b/>
                <w:sz w:val="22"/>
                <w:szCs w:val="22"/>
              </w:rPr>
              <w:t>Recording and reporting local requirements:</w:t>
            </w:r>
          </w:p>
          <w:p w:rsidR="00700594" w:rsidRDefault="00016E33">
            <w:pPr>
              <w:rPr>
                <w:rFonts w:ascii="Calibri" w:eastAsia="Calibri" w:hAnsi="Calibri" w:cs="Calibri"/>
                <w:sz w:val="22"/>
                <w:szCs w:val="22"/>
              </w:rPr>
            </w:pPr>
            <w:r>
              <w:rPr>
                <w:rFonts w:ascii="Calibri" w:eastAsia="Calibri" w:hAnsi="Calibri" w:cs="Calibri"/>
                <w:sz w:val="22"/>
                <w:szCs w:val="22"/>
              </w:rPr>
              <w:t xml:space="preserve">Orange County Public Schools records student achievement using a ten-point 100-50 percentage scale which is reported using an A-F letter grade.  Teacher’s record progress into Skyward and grades are simultaneously reported to students and parents through Skyward online access. </w:t>
            </w:r>
            <w:bookmarkStart w:id="0" w:name="_GoBack"/>
            <w:bookmarkEnd w:id="0"/>
            <w:r>
              <w:rPr>
                <w:rFonts w:ascii="Calibri" w:eastAsia="Calibri" w:hAnsi="Calibri" w:cs="Calibri"/>
                <w:sz w:val="22"/>
                <w:szCs w:val="22"/>
              </w:rPr>
              <w:t xml:space="preserve">Progress Reports are sent to families in the fifth week of the quarter and Report Cards are sent at the end of each nine-week quarter. Semester courses report a final semester grade and year-long courses report a final grade at the end of the year. </w:t>
            </w:r>
          </w:p>
          <w:p w:rsidR="00700594" w:rsidRDefault="00700594">
            <w:pPr>
              <w:rPr>
                <w:rFonts w:ascii="Calibri" w:eastAsia="Calibri" w:hAnsi="Calibri" w:cs="Calibri"/>
                <w:sz w:val="16"/>
                <w:szCs w:val="16"/>
              </w:rPr>
            </w:pPr>
          </w:p>
        </w:tc>
      </w:tr>
      <w:tr w:rsidR="00700594" w:rsidTr="00E60EAA">
        <w:trPr>
          <w:trHeight w:val="701"/>
          <w:jc w:val="center"/>
        </w:trPr>
        <w:tc>
          <w:tcPr>
            <w:tcW w:w="11366" w:type="dxa"/>
            <w:gridSpan w:val="2"/>
            <w:tcBorders>
              <w:top w:val="single" w:sz="4" w:space="0" w:color="000000"/>
              <w:left w:val="single" w:sz="4" w:space="0" w:color="000000"/>
              <w:bottom w:val="single" w:sz="4" w:space="0" w:color="000000"/>
              <w:right w:val="single" w:sz="4" w:space="0" w:color="000000"/>
            </w:tcBorders>
          </w:tcPr>
          <w:p w:rsidR="00700594" w:rsidRPr="00016E33" w:rsidRDefault="00016E33">
            <w:pPr>
              <w:rPr>
                <w:rFonts w:ascii="Calibri" w:eastAsia="Calibri" w:hAnsi="Calibri" w:cs="Calibri"/>
                <w:b/>
                <w:sz w:val="22"/>
                <w:szCs w:val="22"/>
              </w:rPr>
            </w:pPr>
            <w:r w:rsidRPr="00016E33">
              <w:rPr>
                <w:rFonts w:ascii="Calibri" w:eastAsia="Calibri" w:hAnsi="Calibri" w:cs="Calibri"/>
                <w:b/>
                <w:sz w:val="22"/>
                <w:szCs w:val="22"/>
              </w:rPr>
              <w:t xml:space="preserve">Assessment </w:t>
            </w:r>
            <w:r w:rsidR="00F822EF">
              <w:rPr>
                <w:rFonts w:ascii="Calibri" w:eastAsia="Calibri" w:hAnsi="Calibri" w:cs="Calibri"/>
                <w:b/>
                <w:sz w:val="22"/>
                <w:szCs w:val="22"/>
              </w:rPr>
              <w:t>Objectives</w:t>
            </w:r>
            <w:r w:rsidRPr="00016E33">
              <w:rPr>
                <w:rFonts w:ascii="Calibri" w:eastAsia="Calibri" w:hAnsi="Calibri" w:cs="Calibri"/>
                <w:b/>
                <w:sz w:val="22"/>
                <w:szCs w:val="22"/>
              </w:rPr>
              <w:t xml:space="preserve">: </w:t>
            </w:r>
          </w:p>
          <w:p w:rsidR="00700594" w:rsidRDefault="00016E33">
            <w:pPr>
              <w:rPr>
                <w:rFonts w:ascii="Calibri" w:eastAsia="Calibri" w:hAnsi="Calibri" w:cs="Calibri"/>
              </w:rPr>
            </w:pPr>
            <w:r w:rsidRPr="00016E33">
              <w:rPr>
                <w:rFonts w:ascii="Calibri" w:eastAsia="Calibri" w:hAnsi="Calibri" w:cs="Calibri"/>
                <w:sz w:val="22"/>
                <w:szCs w:val="22"/>
              </w:rPr>
              <w:t xml:space="preserve">Each subject group has </w:t>
            </w:r>
            <w:r w:rsidR="00F822EF">
              <w:rPr>
                <w:rFonts w:ascii="Calibri" w:eastAsia="Calibri" w:hAnsi="Calibri" w:cs="Calibri"/>
                <w:sz w:val="22"/>
                <w:szCs w:val="22"/>
              </w:rPr>
              <w:t xml:space="preserve">identified </w:t>
            </w:r>
            <w:r w:rsidRPr="00016E33">
              <w:rPr>
                <w:rFonts w:ascii="Calibri" w:eastAsia="Calibri" w:hAnsi="Calibri" w:cs="Calibri"/>
                <w:sz w:val="22"/>
                <w:szCs w:val="22"/>
              </w:rPr>
              <w:t>assessment criteria that are use</w:t>
            </w:r>
            <w:r w:rsidR="00F822EF">
              <w:rPr>
                <w:rFonts w:ascii="Calibri" w:eastAsia="Calibri" w:hAnsi="Calibri" w:cs="Calibri"/>
                <w:sz w:val="22"/>
                <w:szCs w:val="22"/>
              </w:rPr>
              <w:t xml:space="preserve">d to determine student progress toward success on their DP examinations. </w:t>
            </w:r>
          </w:p>
          <w:p w:rsidR="00700594" w:rsidRDefault="00700594">
            <w:pPr>
              <w:rPr>
                <w:rFonts w:ascii="Calibri" w:eastAsia="Calibri" w:hAnsi="Calibri" w:cs="Calibri"/>
              </w:rPr>
            </w:pPr>
          </w:p>
          <w:p w:rsidR="00700594" w:rsidRDefault="00700594">
            <w:pPr>
              <w:rPr>
                <w:rFonts w:ascii="Calibri" w:eastAsia="Calibri" w:hAnsi="Calibri" w:cs="Calibri"/>
                <w:sz w:val="16"/>
                <w:szCs w:val="16"/>
              </w:rPr>
            </w:pPr>
          </w:p>
          <w:tbl>
            <w:tblPr>
              <w:tblStyle w:val="a0"/>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9"/>
              <w:gridCol w:w="1379"/>
              <w:gridCol w:w="226"/>
              <w:gridCol w:w="319"/>
              <w:gridCol w:w="488"/>
              <w:gridCol w:w="346"/>
              <w:gridCol w:w="455"/>
              <w:gridCol w:w="638"/>
              <w:gridCol w:w="287"/>
              <w:gridCol w:w="687"/>
              <w:gridCol w:w="692"/>
              <w:gridCol w:w="260"/>
              <w:gridCol w:w="657"/>
              <w:gridCol w:w="463"/>
              <w:gridCol w:w="343"/>
              <w:gridCol w:w="467"/>
              <w:gridCol w:w="334"/>
              <w:gridCol w:w="235"/>
              <w:gridCol w:w="1380"/>
            </w:tblGrid>
            <w:tr w:rsidR="00E60EAA" w:rsidTr="00E60EAA">
              <w:trPr>
                <w:trHeight w:val="241"/>
              </w:trPr>
              <w:tc>
                <w:tcPr>
                  <w:tcW w:w="1489" w:type="dxa"/>
                  <w:shd w:val="clear" w:color="auto" w:fill="D0CECE"/>
                </w:tcPr>
                <w:p w:rsidR="00E60EAA" w:rsidRPr="00E60EAA" w:rsidRDefault="00E60EAA" w:rsidP="00E60EAA">
                  <w:pPr>
                    <w:jc w:val="center"/>
                    <w:rPr>
                      <w:rFonts w:ascii="Calibri" w:eastAsia="Calibri" w:hAnsi="Calibri" w:cs="Calibri"/>
                      <w:b/>
                      <w:sz w:val="20"/>
                      <w:szCs w:val="20"/>
                    </w:rPr>
                  </w:pPr>
                  <w:r w:rsidRPr="00E60EAA">
                    <w:rPr>
                      <w:rFonts w:ascii="Calibri" w:eastAsia="Calibri" w:hAnsi="Calibri" w:cs="Calibri"/>
                      <w:b/>
                      <w:sz w:val="20"/>
                      <w:szCs w:val="20"/>
                    </w:rPr>
                    <w:t>Group</w:t>
                  </w:r>
                </w:p>
              </w:tc>
              <w:tc>
                <w:tcPr>
                  <w:tcW w:w="9656" w:type="dxa"/>
                  <w:gridSpan w:val="18"/>
                  <w:shd w:val="clear" w:color="auto" w:fill="D0CECE"/>
                </w:tcPr>
                <w:p w:rsidR="00E60EAA" w:rsidRPr="00E60EAA" w:rsidRDefault="00E60EAA" w:rsidP="00E60EAA">
                  <w:pPr>
                    <w:jc w:val="center"/>
                    <w:rPr>
                      <w:rFonts w:ascii="Calibri" w:eastAsia="Calibri" w:hAnsi="Calibri" w:cs="Calibri"/>
                      <w:b/>
                      <w:sz w:val="20"/>
                      <w:szCs w:val="20"/>
                    </w:rPr>
                  </w:pPr>
                  <w:r w:rsidRPr="00E60EAA">
                    <w:rPr>
                      <w:rFonts w:ascii="Calibri" w:eastAsia="Calibri" w:hAnsi="Calibri" w:cs="Calibri"/>
                      <w:b/>
                      <w:sz w:val="20"/>
                      <w:szCs w:val="20"/>
                    </w:rPr>
                    <w:t>Assessment Objectives</w:t>
                  </w:r>
                </w:p>
                <w:p w:rsidR="00E60EAA" w:rsidRPr="00E60EAA" w:rsidRDefault="00E60EAA" w:rsidP="00E60EAA">
                  <w:pPr>
                    <w:jc w:val="center"/>
                    <w:rPr>
                      <w:rFonts w:ascii="Calibri" w:eastAsia="Calibri" w:hAnsi="Calibri" w:cs="Calibri"/>
                      <w:b/>
                      <w:sz w:val="20"/>
                      <w:szCs w:val="20"/>
                    </w:rPr>
                  </w:pPr>
                </w:p>
              </w:tc>
            </w:tr>
            <w:tr w:rsidR="00E60EAA" w:rsidTr="00E60EAA">
              <w:trPr>
                <w:trHeight w:val="495"/>
              </w:trPr>
              <w:tc>
                <w:tcPr>
                  <w:tcW w:w="1489" w:type="dxa"/>
                  <w:shd w:val="clear" w:color="auto" w:fill="D0CECE"/>
                </w:tcPr>
                <w:p w:rsidR="00E60EAA" w:rsidRPr="00E60EAA" w:rsidRDefault="00E60EAA" w:rsidP="00E60EAA">
                  <w:pPr>
                    <w:jc w:val="center"/>
                    <w:rPr>
                      <w:rFonts w:ascii="Calibri" w:eastAsia="Calibri" w:hAnsi="Calibri" w:cs="Calibri"/>
                      <w:b/>
                      <w:sz w:val="18"/>
                      <w:szCs w:val="20"/>
                    </w:rPr>
                  </w:pPr>
                  <w:r w:rsidRPr="00E60EAA">
                    <w:rPr>
                      <w:rFonts w:ascii="Calibri" w:eastAsia="Calibri" w:hAnsi="Calibri" w:cs="Calibri"/>
                      <w:b/>
                      <w:sz w:val="18"/>
                      <w:szCs w:val="20"/>
                    </w:rPr>
                    <w:t>Group 1: Language and literature</w:t>
                  </w:r>
                </w:p>
              </w:tc>
              <w:tc>
                <w:tcPr>
                  <w:tcW w:w="3213" w:type="dxa"/>
                  <w:gridSpan w:val="6"/>
                </w:tcPr>
                <w:p w:rsidR="00E60EAA" w:rsidRPr="00E60EAA" w:rsidRDefault="00E60EAA" w:rsidP="00E60EAA">
                  <w:pPr>
                    <w:jc w:val="center"/>
                    <w:rPr>
                      <w:rFonts w:asciiTheme="majorHAnsi" w:eastAsia="Calibri" w:hAnsiTheme="majorHAnsi" w:cs="Calibri"/>
                      <w:sz w:val="18"/>
                      <w:szCs w:val="20"/>
                    </w:rPr>
                  </w:pPr>
                  <w:r w:rsidRPr="00E60EAA">
                    <w:rPr>
                      <w:rFonts w:asciiTheme="majorHAnsi" w:hAnsiTheme="majorHAnsi"/>
                      <w:color w:val="333333"/>
                      <w:sz w:val="18"/>
                      <w:szCs w:val="20"/>
                      <w:shd w:val="clear" w:color="auto" w:fill="FFFFFF"/>
                    </w:rPr>
                    <w:t>Know, understand and interpret</w:t>
                  </w:r>
                </w:p>
              </w:tc>
              <w:tc>
                <w:tcPr>
                  <w:tcW w:w="3221" w:type="dxa"/>
                  <w:gridSpan w:val="6"/>
                </w:tcPr>
                <w:p w:rsidR="00E60EAA" w:rsidRPr="00E60EAA" w:rsidRDefault="00E60EAA" w:rsidP="00E60EAA">
                  <w:pPr>
                    <w:jc w:val="center"/>
                    <w:rPr>
                      <w:rFonts w:asciiTheme="majorHAnsi" w:eastAsia="Calibri" w:hAnsiTheme="majorHAnsi" w:cs="Calibri"/>
                      <w:sz w:val="18"/>
                      <w:szCs w:val="20"/>
                    </w:rPr>
                  </w:pPr>
                  <w:proofErr w:type="spellStart"/>
                  <w:r w:rsidRPr="00E60EAA">
                    <w:rPr>
                      <w:rFonts w:asciiTheme="majorHAnsi" w:hAnsiTheme="majorHAnsi"/>
                      <w:color w:val="333333"/>
                      <w:sz w:val="18"/>
                      <w:szCs w:val="20"/>
                      <w:shd w:val="clear" w:color="auto" w:fill="FFFFFF"/>
                    </w:rPr>
                    <w:t>Analyse</w:t>
                  </w:r>
                  <w:proofErr w:type="spellEnd"/>
                  <w:r w:rsidRPr="00E60EAA">
                    <w:rPr>
                      <w:rFonts w:asciiTheme="majorHAnsi" w:hAnsiTheme="majorHAnsi"/>
                      <w:color w:val="333333"/>
                      <w:sz w:val="18"/>
                      <w:szCs w:val="20"/>
                      <w:shd w:val="clear" w:color="auto" w:fill="FFFFFF"/>
                    </w:rPr>
                    <w:t xml:space="preserve"> and evaluate</w:t>
                  </w:r>
                </w:p>
              </w:tc>
              <w:tc>
                <w:tcPr>
                  <w:tcW w:w="3222" w:type="dxa"/>
                  <w:gridSpan w:val="6"/>
                </w:tcPr>
                <w:p w:rsidR="00E60EAA" w:rsidRPr="00E60EAA" w:rsidRDefault="00E60EAA" w:rsidP="00E60EAA">
                  <w:pPr>
                    <w:jc w:val="center"/>
                    <w:rPr>
                      <w:rFonts w:asciiTheme="majorHAnsi" w:eastAsia="Calibri" w:hAnsiTheme="majorHAnsi" w:cs="Calibri"/>
                      <w:sz w:val="18"/>
                      <w:szCs w:val="20"/>
                    </w:rPr>
                  </w:pPr>
                  <w:r w:rsidRPr="00E60EAA">
                    <w:rPr>
                      <w:rFonts w:asciiTheme="majorHAnsi" w:hAnsiTheme="majorHAnsi"/>
                      <w:color w:val="333333"/>
                      <w:sz w:val="18"/>
                      <w:szCs w:val="20"/>
                      <w:shd w:val="clear" w:color="auto" w:fill="FFFFFF"/>
                    </w:rPr>
                    <w:t>Communicate</w:t>
                  </w:r>
                </w:p>
              </w:tc>
            </w:tr>
            <w:tr w:rsidR="00E60EAA" w:rsidTr="00E60EAA">
              <w:trPr>
                <w:trHeight w:val="395"/>
              </w:trPr>
              <w:tc>
                <w:tcPr>
                  <w:tcW w:w="1489" w:type="dxa"/>
                  <w:shd w:val="clear" w:color="auto" w:fill="D0CECE"/>
                </w:tcPr>
                <w:p w:rsidR="00E60EAA" w:rsidRPr="00E60EAA" w:rsidRDefault="00E60EAA" w:rsidP="00E60EAA">
                  <w:pPr>
                    <w:jc w:val="center"/>
                    <w:rPr>
                      <w:rFonts w:ascii="Calibri" w:eastAsia="Calibri" w:hAnsi="Calibri" w:cs="Calibri"/>
                      <w:b/>
                      <w:sz w:val="18"/>
                      <w:szCs w:val="20"/>
                    </w:rPr>
                  </w:pPr>
                  <w:r w:rsidRPr="00E60EAA">
                    <w:rPr>
                      <w:rFonts w:ascii="Calibri" w:eastAsia="Calibri" w:hAnsi="Calibri" w:cs="Calibri"/>
                      <w:b/>
                      <w:sz w:val="18"/>
                      <w:szCs w:val="20"/>
                    </w:rPr>
                    <w:t>Group 2: Language acquisition</w:t>
                  </w:r>
                </w:p>
              </w:tc>
              <w:tc>
                <w:tcPr>
                  <w:tcW w:w="1924" w:type="dxa"/>
                  <w:gridSpan w:val="3"/>
                </w:tcPr>
                <w:p w:rsidR="00E60EAA" w:rsidRPr="00E60EAA" w:rsidRDefault="00E60EAA" w:rsidP="00E60EAA">
                  <w:pPr>
                    <w:jc w:val="center"/>
                    <w:rPr>
                      <w:rFonts w:asciiTheme="majorHAnsi" w:eastAsia="Calibri" w:hAnsiTheme="majorHAnsi" w:cs="Calibri"/>
                      <w:sz w:val="18"/>
                      <w:szCs w:val="20"/>
                    </w:rPr>
                  </w:pPr>
                  <w:r w:rsidRPr="00E60EAA">
                    <w:rPr>
                      <w:rFonts w:asciiTheme="majorHAnsi" w:hAnsiTheme="majorHAnsi"/>
                      <w:sz w:val="18"/>
                      <w:szCs w:val="20"/>
                    </w:rPr>
                    <w:t>Communicate clearly and effectively in a range of contexts and for a variety of purposes.</w:t>
                  </w:r>
                </w:p>
              </w:tc>
              <w:tc>
                <w:tcPr>
                  <w:tcW w:w="1927" w:type="dxa"/>
                  <w:gridSpan w:val="4"/>
                </w:tcPr>
                <w:p w:rsidR="00E60EAA" w:rsidRPr="00E60EAA" w:rsidRDefault="00E60EAA" w:rsidP="00E60EAA">
                  <w:pPr>
                    <w:jc w:val="center"/>
                    <w:rPr>
                      <w:rFonts w:asciiTheme="majorHAnsi" w:eastAsia="Calibri" w:hAnsiTheme="majorHAnsi" w:cs="Calibri"/>
                      <w:sz w:val="18"/>
                      <w:szCs w:val="20"/>
                    </w:rPr>
                  </w:pPr>
                  <w:r w:rsidRPr="00E60EAA">
                    <w:rPr>
                      <w:rFonts w:asciiTheme="majorHAnsi" w:hAnsiTheme="majorHAnsi"/>
                      <w:sz w:val="18"/>
                      <w:szCs w:val="20"/>
                    </w:rPr>
                    <w:t>Understand and use language appropriate to a range of interpersonal and/or intercultural contexts and audiences.</w:t>
                  </w:r>
                </w:p>
              </w:tc>
              <w:tc>
                <w:tcPr>
                  <w:tcW w:w="1926" w:type="dxa"/>
                  <w:gridSpan w:val="4"/>
                </w:tcPr>
                <w:p w:rsidR="00E60EAA" w:rsidRPr="00E60EAA" w:rsidRDefault="00E60EAA" w:rsidP="00E60EAA">
                  <w:pPr>
                    <w:jc w:val="center"/>
                    <w:rPr>
                      <w:rFonts w:asciiTheme="majorHAnsi" w:eastAsia="Calibri" w:hAnsiTheme="majorHAnsi" w:cs="Calibri"/>
                      <w:sz w:val="18"/>
                      <w:szCs w:val="20"/>
                    </w:rPr>
                  </w:pPr>
                  <w:r w:rsidRPr="00E60EAA">
                    <w:rPr>
                      <w:rFonts w:asciiTheme="majorHAnsi" w:hAnsiTheme="majorHAnsi"/>
                      <w:sz w:val="18"/>
                      <w:szCs w:val="20"/>
                    </w:rPr>
                    <w:t>Understand and use language to express and respond to a range of ideas with fluency and accuracy</w:t>
                  </w:r>
                </w:p>
              </w:tc>
              <w:tc>
                <w:tcPr>
                  <w:tcW w:w="1930" w:type="dxa"/>
                  <w:gridSpan w:val="4"/>
                </w:tcPr>
                <w:p w:rsidR="00E60EAA" w:rsidRPr="00E60EAA" w:rsidRDefault="00E60EAA" w:rsidP="00E60EAA">
                  <w:pPr>
                    <w:jc w:val="center"/>
                    <w:rPr>
                      <w:rFonts w:asciiTheme="majorHAnsi" w:eastAsia="Calibri" w:hAnsiTheme="majorHAnsi" w:cs="Calibri"/>
                      <w:sz w:val="18"/>
                      <w:szCs w:val="20"/>
                    </w:rPr>
                  </w:pPr>
                  <w:r w:rsidRPr="00E60EAA">
                    <w:rPr>
                      <w:rFonts w:asciiTheme="majorHAnsi" w:hAnsiTheme="majorHAnsi"/>
                      <w:sz w:val="18"/>
                      <w:szCs w:val="20"/>
                    </w:rPr>
                    <w:t>Identify, organize and present ideas on a range of topics.</w:t>
                  </w:r>
                </w:p>
              </w:tc>
              <w:tc>
                <w:tcPr>
                  <w:tcW w:w="1949" w:type="dxa"/>
                  <w:gridSpan w:val="3"/>
                </w:tcPr>
                <w:p w:rsidR="00E60EAA" w:rsidRPr="00E60EAA" w:rsidRDefault="00E60EAA" w:rsidP="00E60EAA">
                  <w:pPr>
                    <w:jc w:val="center"/>
                    <w:rPr>
                      <w:rFonts w:asciiTheme="majorHAnsi" w:hAnsiTheme="majorHAnsi"/>
                      <w:sz w:val="18"/>
                      <w:szCs w:val="20"/>
                    </w:rPr>
                  </w:pPr>
                  <w:r w:rsidRPr="00E60EAA">
                    <w:rPr>
                      <w:rFonts w:asciiTheme="majorHAnsi" w:hAnsiTheme="majorHAnsi"/>
                      <w:sz w:val="18"/>
                      <w:szCs w:val="20"/>
                    </w:rPr>
                    <w:t xml:space="preserve">Understand, </w:t>
                  </w:r>
                  <w:proofErr w:type="spellStart"/>
                  <w:r w:rsidRPr="00E60EAA">
                    <w:rPr>
                      <w:rFonts w:asciiTheme="majorHAnsi" w:hAnsiTheme="majorHAnsi"/>
                      <w:sz w:val="18"/>
                      <w:szCs w:val="20"/>
                    </w:rPr>
                    <w:t>analyse</w:t>
                  </w:r>
                  <w:proofErr w:type="spellEnd"/>
                  <w:r w:rsidRPr="00E60EAA">
                    <w:rPr>
                      <w:rFonts w:asciiTheme="majorHAnsi" w:hAnsiTheme="majorHAnsi"/>
                      <w:sz w:val="18"/>
                      <w:szCs w:val="20"/>
                    </w:rPr>
                    <w:t xml:space="preserve"> and reflect upon a range of written, audio, visual and audio-visual texts.</w:t>
                  </w:r>
                </w:p>
              </w:tc>
            </w:tr>
            <w:tr w:rsidR="00E60EAA" w:rsidTr="00E60EAA">
              <w:trPr>
                <w:trHeight w:val="495"/>
              </w:trPr>
              <w:tc>
                <w:tcPr>
                  <w:tcW w:w="1489" w:type="dxa"/>
                  <w:shd w:val="clear" w:color="auto" w:fill="D0CECE"/>
                </w:tcPr>
                <w:p w:rsidR="00E60EAA" w:rsidRPr="00E60EAA" w:rsidRDefault="00E60EAA" w:rsidP="00E60EAA">
                  <w:pPr>
                    <w:jc w:val="center"/>
                    <w:rPr>
                      <w:rFonts w:ascii="Calibri" w:eastAsia="Calibri" w:hAnsi="Calibri" w:cs="Calibri"/>
                      <w:b/>
                      <w:sz w:val="18"/>
                      <w:szCs w:val="20"/>
                    </w:rPr>
                  </w:pPr>
                  <w:r w:rsidRPr="00E60EAA">
                    <w:rPr>
                      <w:rFonts w:ascii="Calibri" w:eastAsia="Calibri" w:hAnsi="Calibri" w:cs="Calibri"/>
                      <w:b/>
                      <w:sz w:val="18"/>
                      <w:szCs w:val="20"/>
                    </w:rPr>
                    <w:t>Group 3: Individuals and societies</w:t>
                  </w:r>
                </w:p>
              </w:tc>
              <w:tc>
                <w:tcPr>
                  <w:tcW w:w="2412" w:type="dxa"/>
                  <w:gridSpan w:val="4"/>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Knowing and understanding</w:t>
                  </w:r>
                </w:p>
              </w:tc>
              <w:tc>
                <w:tcPr>
                  <w:tcW w:w="2413" w:type="dxa"/>
                  <w:gridSpan w:val="5"/>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Application and analysis</w:t>
                  </w:r>
                </w:p>
              </w:tc>
              <w:tc>
                <w:tcPr>
                  <w:tcW w:w="2415" w:type="dxa"/>
                  <w:gridSpan w:val="5"/>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Synthesis and evaluation</w:t>
                  </w:r>
                </w:p>
              </w:tc>
              <w:tc>
                <w:tcPr>
                  <w:tcW w:w="2416" w:type="dxa"/>
                  <w:gridSpan w:val="4"/>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Use and application of appropriate skills</w:t>
                  </w:r>
                </w:p>
              </w:tc>
            </w:tr>
            <w:tr w:rsidR="00E60EAA" w:rsidTr="00E60EAA">
              <w:trPr>
                <w:trHeight w:val="495"/>
              </w:trPr>
              <w:tc>
                <w:tcPr>
                  <w:tcW w:w="1489" w:type="dxa"/>
                  <w:shd w:val="clear" w:color="auto" w:fill="D0CECE"/>
                </w:tcPr>
                <w:p w:rsidR="00E60EAA" w:rsidRPr="00E60EAA" w:rsidRDefault="00E60EAA" w:rsidP="00E60EAA">
                  <w:pPr>
                    <w:jc w:val="center"/>
                    <w:rPr>
                      <w:rFonts w:ascii="Calibri" w:eastAsia="Calibri" w:hAnsi="Calibri" w:cs="Calibri"/>
                      <w:b/>
                      <w:sz w:val="18"/>
                      <w:szCs w:val="20"/>
                    </w:rPr>
                  </w:pPr>
                  <w:r w:rsidRPr="00E60EAA">
                    <w:rPr>
                      <w:rFonts w:ascii="Calibri" w:eastAsia="Calibri" w:hAnsi="Calibri" w:cs="Calibri"/>
                      <w:b/>
                      <w:sz w:val="18"/>
                      <w:szCs w:val="20"/>
                    </w:rPr>
                    <w:t>Group 4: Sciences</w:t>
                  </w:r>
                </w:p>
              </w:tc>
              <w:tc>
                <w:tcPr>
                  <w:tcW w:w="2412" w:type="dxa"/>
                  <w:gridSpan w:val="4"/>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Knowing and understanding</w:t>
                  </w:r>
                </w:p>
              </w:tc>
              <w:tc>
                <w:tcPr>
                  <w:tcW w:w="2413" w:type="dxa"/>
                  <w:gridSpan w:val="5"/>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Application</w:t>
                  </w:r>
                </w:p>
              </w:tc>
              <w:tc>
                <w:tcPr>
                  <w:tcW w:w="2415" w:type="dxa"/>
                  <w:gridSpan w:val="5"/>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 xml:space="preserve">Formulate, </w:t>
                  </w:r>
                  <w:proofErr w:type="spellStart"/>
                  <w:r w:rsidRPr="00E60EAA">
                    <w:rPr>
                      <w:rFonts w:ascii="Calibri" w:eastAsia="Calibri" w:hAnsi="Calibri" w:cs="Calibri"/>
                      <w:sz w:val="18"/>
                      <w:szCs w:val="20"/>
                    </w:rPr>
                    <w:t>analyse</w:t>
                  </w:r>
                  <w:proofErr w:type="spellEnd"/>
                  <w:r w:rsidRPr="00E60EAA">
                    <w:rPr>
                      <w:rFonts w:ascii="Calibri" w:eastAsia="Calibri" w:hAnsi="Calibri" w:cs="Calibri"/>
                      <w:sz w:val="18"/>
                      <w:szCs w:val="20"/>
                    </w:rPr>
                    <w:t>, and evaluate</w:t>
                  </w:r>
                </w:p>
              </w:tc>
              <w:tc>
                <w:tcPr>
                  <w:tcW w:w="2416" w:type="dxa"/>
                  <w:gridSpan w:val="4"/>
                </w:tcPr>
                <w:p w:rsidR="00E60EAA" w:rsidRPr="00E60EAA" w:rsidRDefault="00E60EAA" w:rsidP="00FA3725">
                  <w:pPr>
                    <w:jc w:val="center"/>
                    <w:rPr>
                      <w:rFonts w:ascii="Calibri" w:eastAsia="Calibri" w:hAnsi="Calibri" w:cs="Calibri"/>
                      <w:sz w:val="18"/>
                      <w:szCs w:val="20"/>
                    </w:rPr>
                  </w:pPr>
                  <w:r w:rsidRPr="00E60EAA">
                    <w:rPr>
                      <w:rFonts w:ascii="Calibri" w:eastAsia="Calibri" w:hAnsi="Calibri" w:cs="Calibri"/>
                      <w:sz w:val="18"/>
                      <w:szCs w:val="20"/>
                    </w:rPr>
                    <w:t>Demonstrate the appropriate research, experimental, and persona</w:t>
                  </w:r>
                  <w:r w:rsidR="00FA3725">
                    <w:rPr>
                      <w:rFonts w:ascii="Calibri" w:eastAsia="Calibri" w:hAnsi="Calibri" w:cs="Calibri"/>
                      <w:sz w:val="18"/>
                      <w:szCs w:val="20"/>
                    </w:rPr>
                    <w:t>l skills necessary to carry out i</w:t>
                  </w:r>
                  <w:r w:rsidR="00FA3725" w:rsidRPr="00E60EAA">
                    <w:rPr>
                      <w:rFonts w:ascii="Calibri" w:eastAsia="Calibri" w:hAnsi="Calibri" w:cs="Calibri"/>
                      <w:sz w:val="18"/>
                      <w:szCs w:val="20"/>
                    </w:rPr>
                    <w:t>nsightful</w:t>
                  </w:r>
                  <w:r w:rsidRPr="00E60EAA">
                    <w:rPr>
                      <w:rFonts w:ascii="Calibri" w:eastAsia="Calibri" w:hAnsi="Calibri" w:cs="Calibri"/>
                      <w:sz w:val="18"/>
                      <w:szCs w:val="20"/>
                    </w:rPr>
                    <w:t xml:space="preserve"> and ethical investigations.</w:t>
                  </w:r>
                </w:p>
              </w:tc>
            </w:tr>
            <w:tr w:rsidR="00E60EAA" w:rsidTr="00E60EAA">
              <w:trPr>
                <w:trHeight w:val="737"/>
              </w:trPr>
              <w:tc>
                <w:tcPr>
                  <w:tcW w:w="1489" w:type="dxa"/>
                  <w:shd w:val="clear" w:color="auto" w:fill="D0CECE"/>
                </w:tcPr>
                <w:p w:rsidR="00EB08B4" w:rsidRPr="00E60EAA" w:rsidRDefault="00E60EAA" w:rsidP="00E60EAA">
                  <w:pPr>
                    <w:jc w:val="center"/>
                    <w:rPr>
                      <w:rFonts w:ascii="Calibri" w:eastAsia="Calibri" w:hAnsi="Calibri" w:cs="Calibri"/>
                      <w:b/>
                      <w:sz w:val="18"/>
                      <w:szCs w:val="20"/>
                    </w:rPr>
                  </w:pPr>
                  <w:r w:rsidRPr="00E60EAA">
                    <w:rPr>
                      <w:rFonts w:ascii="Calibri" w:eastAsia="Calibri" w:hAnsi="Calibri" w:cs="Calibri"/>
                      <w:b/>
                      <w:sz w:val="18"/>
                      <w:szCs w:val="20"/>
                    </w:rPr>
                    <w:t xml:space="preserve">Group 5: </w:t>
                  </w:r>
                  <w:r w:rsidR="00EB08B4" w:rsidRPr="00E60EAA">
                    <w:rPr>
                      <w:rFonts w:ascii="Calibri" w:eastAsia="Calibri" w:hAnsi="Calibri" w:cs="Calibri"/>
                      <w:b/>
                      <w:sz w:val="18"/>
                      <w:szCs w:val="20"/>
                    </w:rPr>
                    <w:t>Mathematics</w:t>
                  </w:r>
                </w:p>
              </w:tc>
              <w:tc>
                <w:tcPr>
                  <w:tcW w:w="1605" w:type="dxa"/>
                  <w:gridSpan w:val="2"/>
                </w:tcPr>
                <w:p w:rsidR="00EB08B4" w:rsidRPr="00E60EAA" w:rsidRDefault="00EB08B4" w:rsidP="00E60EAA">
                  <w:pPr>
                    <w:jc w:val="center"/>
                    <w:rPr>
                      <w:rFonts w:ascii="Calibri" w:eastAsia="Calibri" w:hAnsi="Calibri" w:cs="Calibri"/>
                      <w:sz w:val="18"/>
                      <w:szCs w:val="20"/>
                    </w:rPr>
                  </w:pPr>
                  <w:r w:rsidRPr="00E60EAA">
                    <w:rPr>
                      <w:rFonts w:ascii="Calibri" w:eastAsia="Calibri" w:hAnsi="Calibri" w:cs="Calibri"/>
                      <w:sz w:val="18"/>
                      <w:szCs w:val="20"/>
                    </w:rPr>
                    <w:t>Knowing and understanding</w:t>
                  </w:r>
                </w:p>
              </w:tc>
              <w:tc>
                <w:tcPr>
                  <w:tcW w:w="1608" w:type="dxa"/>
                  <w:gridSpan w:val="4"/>
                </w:tcPr>
                <w:p w:rsidR="00EB08B4" w:rsidRPr="00E60EAA" w:rsidRDefault="00EB08B4" w:rsidP="00E60EAA">
                  <w:pPr>
                    <w:jc w:val="center"/>
                    <w:rPr>
                      <w:rFonts w:ascii="Calibri" w:eastAsia="Calibri" w:hAnsi="Calibri" w:cs="Calibri"/>
                      <w:sz w:val="18"/>
                      <w:szCs w:val="20"/>
                    </w:rPr>
                  </w:pPr>
                  <w:r w:rsidRPr="00E60EAA">
                    <w:rPr>
                      <w:rFonts w:ascii="Calibri" w:eastAsia="Calibri" w:hAnsi="Calibri" w:cs="Calibri"/>
                      <w:sz w:val="18"/>
                      <w:szCs w:val="20"/>
                    </w:rPr>
                    <w:t>Problem Solving</w:t>
                  </w:r>
                </w:p>
              </w:tc>
              <w:tc>
                <w:tcPr>
                  <w:tcW w:w="1612" w:type="dxa"/>
                  <w:gridSpan w:val="3"/>
                </w:tcPr>
                <w:p w:rsidR="00EB08B4" w:rsidRPr="00E60EAA" w:rsidRDefault="00EB08B4" w:rsidP="00E60EAA">
                  <w:pPr>
                    <w:jc w:val="center"/>
                    <w:rPr>
                      <w:rFonts w:ascii="Calibri" w:eastAsia="Calibri" w:hAnsi="Calibri" w:cs="Calibri"/>
                      <w:sz w:val="18"/>
                      <w:szCs w:val="20"/>
                    </w:rPr>
                  </w:pPr>
                  <w:r w:rsidRPr="00E60EAA">
                    <w:rPr>
                      <w:rFonts w:ascii="Calibri" w:eastAsia="Calibri" w:hAnsi="Calibri" w:cs="Calibri"/>
                      <w:sz w:val="18"/>
                      <w:szCs w:val="20"/>
                    </w:rPr>
                    <w:t>Communication and interpretation</w:t>
                  </w:r>
                </w:p>
              </w:tc>
              <w:tc>
                <w:tcPr>
                  <w:tcW w:w="1609" w:type="dxa"/>
                  <w:gridSpan w:val="3"/>
                </w:tcPr>
                <w:p w:rsidR="00EB08B4" w:rsidRPr="00E60EAA" w:rsidRDefault="00EB08B4" w:rsidP="00E60EAA">
                  <w:pPr>
                    <w:jc w:val="center"/>
                    <w:rPr>
                      <w:rFonts w:ascii="Calibri" w:eastAsia="Calibri" w:hAnsi="Calibri" w:cs="Calibri"/>
                      <w:sz w:val="18"/>
                      <w:szCs w:val="20"/>
                    </w:rPr>
                  </w:pPr>
                  <w:r w:rsidRPr="00E60EAA">
                    <w:rPr>
                      <w:rFonts w:ascii="Calibri" w:eastAsia="Calibri" w:hAnsi="Calibri" w:cs="Calibri"/>
                      <w:sz w:val="18"/>
                      <w:szCs w:val="20"/>
                    </w:rPr>
                    <w:t>Technology</w:t>
                  </w:r>
                </w:p>
              </w:tc>
              <w:tc>
                <w:tcPr>
                  <w:tcW w:w="1607" w:type="dxa"/>
                  <w:gridSpan w:val="4"/>
                </w:tcPr>
                <w:p w:rsidR="00EB08B4" w:rsidRPr="00E60EAA" w:rsidRDefault="00EB08B4" w:rsidP="00E60EAA">
                  <w:pPr>
                    <w:jc w:val="center"/>
                    <w:rPr>
                      <w:rFonts w:ascii="Calibri" w:eastAsia="Calibri" w:hAnsi="Calibri" w:cs="Calibri"/>
                      <w:sz w:val="18"/>
                      <w:szCs w:val="20"/>
                    </w:rPr>
                  </w:pPr>
                  <w:r w:rsidRPr="00E60EAA">
                    <w:rPr>
                      <w:rFonts w:ascii="Calibri" w:eastAsia="Calibri" w:hAnsi="Calibri" w:cs="Calibri"/>
                      <w:sz w:val="18"/>
                      <w:szCs w:val="20"/>
                    </w:rPr>
                    <w:t>Reasoning</w:t>
                  </w:r>
                </w:p>
              </w:tc>
              <w:tc>
                <w:tcPr>
                  <w:tcW w:w="1615" w:type="dxa"/>
                  <w:gridSpan w:val="2"/>
                </w:tcPr>
                <w:p w:rsidR="00EB08B4" w:rsidRPr="00E60EAA" w:rsidRDefault="00EB08B4" w:rsidP="00E60EAA">
                  <w:pPr>
                    <w:jc w:val="center"/>
                    <w:rPr>
                      <w:rFonts w:ascii="Calibri" w:eastAsia="Calibri" w:hAnsi="Calibri" w:cs="Calibri"/>
                      <w:sz w:val="18"/>
                      <w:szCs w:val="20"/>
                    </w:rPr>
                  </w:pPr>
                  <w:r w:rsidRPr="00E60EAA">
                    <w:rPr>
                      <w:rFonts w:ascii="Calibri" w:eastAsia="Calibri" w:hAnsi="Calibri" w:cs="Calibri"/>
                      <w:sz w:val="18"/>
                      <w:szCs w:val="20"/>
                    </w:rPr>
                    <w:t>Inquiry approaches</w:t>
                  </w:r>
                </w:p>
              </w:tc>
            </w:tr>
            <w:tr w:rsidR="00E60EAA" w:rsidTr="00E60EAA">
              <w:trPr>
                <w:trHeight w:val="495"/>
              </w:trPr>
              <w:tc>
                <w:tcPr>
                  <w:tcW w:w="1489" w:type="dxa"/>
                  <w:shd w:val="clear" w:color="auto" w:fill="D0CECE"/>
                </w:tcPr>
                <w:p w:rsidR="00E60EAA" w:rsidRPr="00E60EAA" w:rsidRDefault="00E60EAA" w:rsidP="00E60EAA">
                  <w:pPr>
                    <w:jc w:val="center"/>
                    <w:rPr>
                      <w:rFonts w:ascii="Calibri" w:eastAsia="Calibri" w:hAnsi="Calibri" w:cs="Calibri"/>
                      <w:b/>
                      <w:sz w:val="18"/>
                      <w:szCs w:val="20"/>
                    </w:rPr>
                  </w:pPr>
                  <w:r w:rsidRPr="00E60EAA">
                    <w:rPr>
                      <w:rFonts w:ascii="Calibri" w:eastAsia="Calibri" w:hAnsi="Calibri" w:cs="Calibri"/>
                      <w:b/>
                      <w:sz w:val="18"/>
                      <w:szCs w:val="20"/>
                    </w:rPr>
                    <w:t>Group 6: Arts</w:t>
                  </w:r>
                </w:p>
              </w:tc>
              <w:tc>
                <w:tcPr>
                  <w:tcW w:w="2412" w:type="dxa"/>
                  <w:gridSpan w:val="4"/>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Knowing and understanding</w:t>
                  </w:r>
                </w:p>
              </w:tc>
              <w:tc>
                <w:tcPr>
                  <w:tcW w:w="2413" w:type="dxa"/>
                  <w:gridSpan w:val="5"/>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Demonstrate application and analysis</w:t>
                  </w:r>
                </w:p>
              </w:tc>
              <w:tc>
                <w:tcPr>
                  <w:tcW w:w="2415" w:type="dxa"/>
                  <w:gridSpan w:val="5"/>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Synthesis and evaluation</w:t>
                  </w:r>
                </w:p>
              </w:tc>
              <w:tc>
                <w:tcPr>
                  <w:tcW w:w="2416" w:type="dxa"/>
                  <w:gridSpan w:val="4"/>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Select, use and apply a variety of appropriate skills and techniques</w:t>
                  </w:r>
                </w:p>
              </w:tc>
            </w:tr>
            <w:tr w:rsidR="00E60EAA" w:rsidTr="00E60EAA">
              <w:trPr>
                <w:trHeight w:val="482"/>
              </w:trPr>
              <w:tc>
                <w:tcPr>
                  <w:tcW w:w="1489" w:type="dxa"/>
                  <w:shd w:val="clear" w:color="auto" w:fill="D0CECE"/>
                </w:tcPr>
                <w:p w:rsidR="00E60EAA" w:rsidRPr="00E60EAA" w:rsidRDefault="00E60EAA" w:rsidP="00E60EAA">
                  <w:pPr>
                    <w:jc w:val="center"/>
                    <w:rPr>
                      <w:rFonts w:ascii="Calibri" w:eastAsia="Calibri" w:hAnsi="Calibri" w:cs="Calibri"/>
                      <w:b/>
                      <w:sz w:val="18"/>
                      <w:szCs w:val="20"/>
                    </w:rPr>
                  </w:pPr>
                  <w:r w:rsidRPr="00E60EAA">
                    <w:rPr>
                      <w:rFonts w:ascii="Calibri" w:eastAsia="Calibri" w:hAnsi="Calibri" w:cs="Calibri"/>
                      <w:b/>
                      <w:sz w:val="18"/>
                      <w:szCs w:val="20"/>
                    </w:rPr>
                    <w:t>TOK</w:t>
                  </w:r>
                </w:p>
              </w:tc>
              <w:tc>
                <w:tcPr>
                  <w:tcW w:w="1379" w:type="dxa"/>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 xml:space="preserve">Identify and </w:t>
                  </w:r>
                  <w:proofErr w:type="spellStart"/>
                  <w:r w:rsidRPr="00E60EAA">
                    <w:rPr>
                      <w:rFonts w:ascii="Calibri" w:eastAsia="Calibri" w:hAnsi="Calibri" w:cs="Calibri"/>
                      <w:sz w:val="18"/>
                      <w:szCs w:val="20"/>
                    </w:rPr>
                    <w:t>analyse</w:t>
                  </w:r>
                  <w:proofErr w:type="spellEnd"/>
                </w:p>
              </w:tc>
              <w:tc>
                <w:tcPr>
                  <w:tcW w:w="1379" w:type="dxa"/>
                  <w:gridSpan w:val="4"/>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Formulate, evaluate and attempt to answer</w:t>
                  </w:r>
                </w:p>
              </w:tc>
              <w:tc>
                <w:tcPr>
                  <w:tcW w:w="1380" w:type="dxa"/>
                  <w:gridSpan w:val="3"/>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Examination across contexts</w:t>
                  </w:r>
                </w:p>
              </w:tc>
              <w:tc>
                <w:tcPr>
                  <w:tcW w:w="1379" w:type="dxa"/>
                  <w:gridSpan w:val="2"/>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Understanding of roles of ways of knowing</w:t>
                  </w:r>
                </w:p>
              </w:tc>
              <w:tc>
                <w:tcPr>
                  <w:tcW w:w="1380" w:type="dxa"/>
                  <w:gridSpan w:val="3"/>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Exploring links between claims, questions, and ways of knowing</w:t>
                  </w:r>
                </w:p>
              </w:tc>
              <w:tc>
                <w:tcPr>
                  <w:tcW w:w="1379" w:type="dxa"/>
                  <w:gridSpan w:val="4"/>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Awareness and understanding of different perspectives</w:t>
                  </w:r>
                </w:p>
              </w:tc>
              <w:tc>
                <w:tcPr>
                  <w:tcW w:w="1380" w:type="dxa"/>
                </w:tcPr>
                <w:p w:rsidR="00E60EAA" w:rsidRPr="00E60EAA" w:rsidRDefault="00E60EAA" w:rsidP="00E60EAA">
                  <w:pPr>
                    <w:jc w:val="center"/>
                    <w:rPr>
                      <w:rFonts w:ascii="Calibri" w:eastAsia="Calibri" w:hAnsi="Calibri" w:cs="Calibri"/>
                      <w:sz w:val="18"/>
                      <w:szCs w:val="20"/>
                    </w:rPr>
                  </w:pPr>
                  <w:r w:rsidRPr="00E60EAA">
                    <w:rPr>
                      <w:rFonts w:ascii="Calibri" w:eastAsia="Calibri" w:hAnsi="Calibri" w:cs="Calibri"/>
                      <w:sz w:val="18"/>
                      <w:szCs w:val="20"/>
                    </w:rPr>
                    <w:t>Explore real life situations</w:t>
                  </w:r>
                </w:p>
              </w:tc>
            </w:tr>
          </w:tbl>
          <w:p w:rsidR="00700594" w:rsidRDefault="00700594">
            <w:pPr>
              <w:rPr>
                <w:rFonts w:ascii="Calibri" w:eastAsia="Calibri" w:hAnsi="Calibri" w:cs="Calibri"/>
                <w:sz w:val="16"/>
                <w:szCs w:val="16"/>
              </w:rPr>
            </w:pPr>
          </w:p>
          <w:p w:rsidR="00700594" w:rsidRDefault="00FA3725">
            <w:pPr>
              <w:rPr>
                <w:rFonts w:ascii="Calibri" w:eastAsia="Calibri" w:hAnsi="Calibri" w:cs="Calibri"/>
                <w:sz w:val="22"/>
                <w:szCs w:val="22"/>
              </w:rPr>
            </w:pPr>
            <w:r>
              <w:rPr>
                <w:rFonts w:ascii="Calibri" w:eastAsia="Calibri" w:hAnsi="Calibri" w:cs="Calibri"/>
                <w:sz w:val="22"/>
                <w:szCs w:val="22"/>
              </w:rPr>
              <w:t xml:space="preserve">Across the timeline of coursework students are assessed using both formative and summative means to prepare them for their DP Assessments. Twice a year students engage in more formal summative practice assessments to gauge their preparation. These are typically held at the end of the first semester and middle of the second semester prior to spring break. These assessments allow for reteaching and relearning of content for mastery. Students are given assessment marks in accordance with released paper </w:t>
            </w:r>
            <w:proofErr w:type="spellStart"/>
            <w:r>
              <w:rPr>
                <w:rFonts w:ascii="Calibri" w:eastAsia="Calibri" w:hAnsi="Calibri" w:cs="Calibri"/>
                <w:sz w:val="22"/>
                <w:szCs w:val="22"/>
              </w:rPr>
              <w:t>markschemes</w:t>
            </w:r>
            <w:proofErr w:type="spellEnd"/>
            <w:r>
              <w:rPr>
                <w:rFonts w:ascii="Calibri" w:eastAsia="Calibri" w:hAnsi="Calibri" w:cs="Calibri"/>
                <w:sz w:val="22"/>
                <w:szCs w:val="22"/>
              </w:rPr>
              <w:t xml:space="preserve">. </w:t>
            </w:r>
          </w:p>
          <w:p w:rsidR="00700594" w:rsidRDefault="00700594">
            <w:pPr>
              <w:rPr>
                <w:rFonts w:ascii="Calibri" w:eastAsia="Calibri" w:hAnsi="Calibri" w:cs="Calibri"/>
                <w:b/>
              </w:rPr>
            </w:pPr>
          </w:p>
        </w:tc>
      </w:tr>
      <w:tr w:rsidR="00700594" w:rsidTr="00E60EAA">
        <w:trPr>
          <w:trHeight w:val="701"/>
          <w:jc w:val="center"/>
        </w:trPr>
        <w:tc>
          <w:tcPr>
            <w:tcW w:w="11366" w:type="dxa"/>
            <w:gridSpan w:val="2"/>
            <w:tcBorders>
              <w:top w:val="single" w:sz="4" w:space="0" w:color="000000"/>
              <w:left w:val="single" w:sz="4" w:space="0" w:color="000000"/>
              <w:bottom w:val="single" w:sz="4" w:space="0" w:color="000000"/>
              <w:right w:val="single" w:sz="4" w:space="0" w:color="000000"/>
            </w:tcBorders>
          </w:tcPr>
          <w:p w:rsidR="00700594" w:rsidRDefault="00016E33">
            <w:pPr>
              <w:pBdr>
                <w:top w:val="nil"/>
                <w:left w:val="nil"/>
                <w:bottom w:val="nil"/>
                <w:right w:val="nil"/>
                <w:between w:val="nil"/>
              </w:pBdr>
              <w:tabs>
                <w:tab w:val="center" w:pos="4680"/>
                <w:tab w:val="right" w:pos="9360"/>
              </w:tabs>
              <w:rPr>
                <w:color w:val="7B7B7B"/>
                <w:sz w:val="20"/>
                <w:szCs w:val="20"/>
              </w:rPr>
            </w:pPr>
            <w:r>
              <w:rPr>
                <w:color w:val="7B7B7B"/>
                <w:sz w:val="20"/>
                <w:szCs w:val="20"/>
              </w:rPr>
              <w:lastRenderedPageBreak/>
              <w:t xml:space="preserve">Resources: </w:t>
            </w:r>
            <w:proofErr w:type="spellStart"/>
            <w:r>
              <w:rPr>
                <w:color w:val="7B7B7B"/>
                <w:sz w:val="20"/>
                <w:szCs w:val="20"/>
              </w:rPr>
              <w:t>Glenridge</w:t>
            </w:r>
            <w:proofErr w:type="spellEnd"/>
            <w:r>
              <w:rPr>
                <w:color w:val="7B7B7B"/>
                <w:sz w:val="20"/>
                <w:szCs w:val="20"/>
              </w:rPr>
              <w:t xml:space="preserve"> Middle School Assessment Policy, Jackson Middle School Assessment Policy, Carver Middle School Assessment Policy,</w:t>
            </w:r>
            <w:r w:rsidR="002D004F">
              <w:rPr>
                <w:color w:val="7B7B7B"/>
                <w:sz w:val="20"/>
                <w:szCs w:val="20"/>
              </w:rPr>
              <w:t xml:space="preserve"> Cypress Creek Assessment Policy,</w:t>
            </w:r>
            <w:r>
              <w:rPr>
                <w:color w:val="7B7B7B"/>
                <w:sz w:val="20"/>
                <w:szCs w:val="20"/>
              </w:rPr>
              <w:t xml:space="preserve"> Guidelines for developing a school assessment policy</w:t>
            </w:r>
            <w:r w:rsidR="00FA3725">
              <w:rPr>
                <w:color w:val="7B7B7B"/>
                <w:sz w:val="20"/>
                <w:szCs w:val="20"/>
              </w:rPr>
              <w:t xml:space="preserve"> in the Middle Years Programme, IB DP Subject Guides, IB DP Grade Descriptors, IB Examination Papers and </w:t>
            </w:r>
            <w:proofErr w:type="spellStart"/>
            <w:r w:rsidR="00FA3725">
              <w:rPr>
                <w:color w:val="7B7B7B"/>
                <w:sz w:val="20"/>
                <w:szCs w:val="20"/>
              </w:rPr>
              <w:t>Markschemes</w:t>
            </w:r>
            <w:proofErr w:type="spellEnd"/>
          </w:p>
          <w:p w:rsidR="00700594" w:rsidRDefault="00D746E0" w:rsidP="00FA3725">
            <w:pPr>
              <w:pBdr>
                <w:top w:val="nil"/>
                <w:left w:val="nil"/>
                <w:bottom w:val="nil"/>
                <w:right w:val="nil"/>
                <w:between w:val="nil"/>
              </w:pBdr>
              <w:tabs>
                <w:tab w:val="center" w:pos="4680"/>
                <w:tab w:val="right" w:pos="9360"/>
              </w:tabs>
              <w:rPr>
                <w:color w:val="7B7B7B"/>
                <w:sz w:val="20"/>
                <w:szCs w:val="20"/>
              </w:rPr>
            </w:pPr>
            <w:r>
              <w:rPr>
                <w:color w:val="7B7B7B"/>
                <w:sz w:val="20"/>
                <w:szCs w:val="20"/>
              </w:rPr>
              <w:t>Date modified: September</w:t>
            </w:r>
            <w:r w:rsidR="00016E33">
              <w:rPr>
                <w:color w:val="7B7B7B"/>
                <w:sz w:val="20"/>
                <w:szCs w:val="20"/>
              </w:rPr>
              <w:t xml:space="preserve"> 2020. The policy will be reviewed every two years. </w:t>
            </w:r>
          </w:p>
        </w:tc>
      </w:tr>
    </w:tbl>
    <w:p w:rsidR="00700594" w:rsidRDefault="00700594"/>
    <w:sectPr w:rsidR="00700594">
      <w:pgSz w:w="12240" w:h="15840"/>
      <w:pgMar w:top="432" w:right="432" w:bottom="432" w:left="432" w:header="144" w:footer="14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altName w:val="Arial"/>
    <w:panose1 w:val="020B03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5412"/>
    <w:multiLevelType w:val="multilevel"/>
    <w:tmpl w:val="EDF2173A"/>
    <w:lvl w:ilvl="0">
      <w:start w:val="1"/>
      <w:numFmt w:val="bullet"/>
      <w:lvlText w:val="●"/>
      <w:lvlJc w:val="left"/>
      <w:pPr>
        <w:ind w:left="540" w:hanging="360"/>
      </w:pPr>
      <w:rPr>
        <w:rFonts w:ascii="Noto Sans Symbols" w:eastAsia="Noto Sans Symbols" w:hAnsi="Noto Sans Symbols" w:cs="Noto Sans Symbols"/>
        <w:sz w:val="26"/>
        <w:szCs w:val="26"/>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 w15:restartNumberingAfterBreak="0">
    <w:nsid w:val="17D62A62"/>
    <w:multiLevelType w:val="multilevel"/>
    <w:tmpl w:val="39DAD4FA"/>
    <w:lvl w:ilvl="0">
      <w:start w:val="1"/>
      <w:numFmt w:val="bullet"/>
      <w:lvlText w:val="●"/>
      <w:lvlJc w:val="left"/>
      <w:pPr>
        <w:ind w:left="1170" w:hanging="360"/>
      </w:pPr>
      <w:rPr>
        <w:rFonts w:ascii="Noto Sans Symbols" w:eastAsia="Noto Sans Symbols" w:hAnsi="Noto Sans Symbols" w:cs="Noto Sans Symbols"/>
        <w:sz w:val="24"/>
        <w:szCs w:val="24"/>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 w15:restartNumberingAfterBreak="0">
    <w:nsid w:val="33906727"/>
    <w:multiLevelType w:val="multilevel"/>
    <w:tmpl w:val="080E5272"/>
    <w:lvl w:ilvl="0">
      <w:start w:val="1"/>
      <w:numFmt w:val="bullet"/>
      <w:lvlText w:val="●"/>
      <w:lvlJc w:val="left"/>
      <w:pPr>
        <w:ind w:left="720" w:hanging="360"/>
      </w:pPr>
      <w:rPr>
        <w:rFonts w:ascii="Noto Sans Symbols" w:eastAsia="Noto Sans Symbols" w:hAnsi="Noto Sans Symbols" w:cs="Noto Sans Symbols"/>
        <w:sz w:val="26"/>
        <w:szCs w:val="2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94"/>
    <w:rsid w:val="00016E33"/>
    <w:rsid w:val="002D004F"/>
    <w:rsid w:val="00700594"/>
    <w:rsid w:val="007665A8"/>
    <w:rsid w:val="0082243A"/>
    <w:rsid w:val="00D746E0"/>
    <w:rsid w:val="00E60EAA"/>
    <w:rsid w:val="00EB08B4"/>
    <w:rsid w:val="00F822EF"/>
    <w:rsid w:val="00FA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27BAC-9A9A-4ACB-B47A-2546C8F6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Philpot, Helen J.</dc:creator>
  <cp:lastModifiedBy>Philpot, Helen J.</cp:lastModifiedBy>
  <cp:revision>2</cp:revision>
  <dcterms:created xsi:type="dcterms:W3CDTF">2021-01-26T18:25:00Z</dcterms:created>
  <dcterms:modified xsi:type="dcterms:W3CDTF">2021-01-26T18:25:00Z</dcterms:modified>
</cp:coreProperties>
</file>